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62" w:rsidRDefault="00434862" w:rsidP="00AE2B33">
      <w:pPr>
        <w:spacing w:after="0" w:line="276" w:lineRule="auto"/>
        <w:jc w:val="center"/>
        <w:rPr>
          <w:rFonts w:ascii="Times New Roman" w:hAnsi="Times New Roman" w:cs="Times New Roman"/>
          <w:sz w:val="28"/>
          <w:szCs w:val="28"/>
        </w:rPr>
      </w:pPr>
    </w:p>
    <w:p w:rsidR="00B62DCA" w:rsidRDefault="00B62DCA" w:rsidP="00AE2B33">
      <w:pPr>
        <w:spacing w:after="0" w:line="276" w:lineRule="auto"/>
        <w:jc w:val="center"/>
        <w:rPr>
          <w:rFonts w:ascii="Times New Roman" w:hAnsi="Times New Roman" w:cs="Times New Roman"/>
          <w:sz w:val="28"/>
          <w:szCs w:val="28"/>
        </w:rPr>
      </w:pPr>
    </w:p>
    <w:p w:rsidR="00B62DCA" w:rsidRDefault="00B62DCA" w:rsidP="00AE2B33">
      <w:pPr>
        <w:spacing w:after="0" w:line="276" w:lineRule="auto"/>
        <w:jc w:val="center"/>
        <w:rPr>
          <w:rFonts w:ascii="Times New Roman" w:hAnsi="Times New Roman" w:cs="Times New Roman"/>
          <w:sz w:val="28"/>
          <w:szCs w:val="28"/>
        </w:rPr>
      </w:pPr>
    </w:p>
    <w:p w:rsidR="00434862" w:rsidRDefault="00434862" w:rsidP="00AE2B33">
      <w:pPr>
        <w:spacing w:after="0" w:line="276" w:lineRule="auto"/>
        <w:jc w:val="center"/>
        <w:rPr>
          <w:rFonts w:ascii="Times New Roman" w:hAnsi="Times New Roman" w:cs="Times New Roman"/>
          <w:sz w:val="28"/>
          <w:szCs w:val="28"/>
        </w:rPr>
      </w:pPr>
    </w:p>
    <w:p w:rsidR="00AE2B33" w:rsidRPr="00B62DCA" w:rsidRDefault="00AE2B33" w:rsidP="00AE2B33">
      <w:pPr>
        <w:spacing w:after="0" w:line="276" w:lineRule="auto"/>
        <w:jc w:val="center"/>
        <w:rPr>
          <w:rFonts w:ascii="Times New Roman" w:hAnsi="Times New Roman" w:cs="Times New Roman"/>
          <w:b/>
          <w:sz w:val="32"/>
          <w:szCs w:val="32"/>
        </w:rPr>
      </w:pPr>
      <w:r w:rsidRPr="00B62DCA">
        <w:rPr>
          <w:rFonts w:ascii="Times New Roman" w:hAnsi="Times New Roman" w:cs="Times New Roman"/>
          <w:b/>
          <w:sz w:val="32"/>
          <w:szCs w:val="32"/>
        </w:rPr>
        <w:t>PROYECTO DE LEY</w:t>
      </w:r>
    </w:p>
    <w:p w:rsidR="00AE2B33" w:rsidRDefault="00AE2B33" w:rsidP="00AE2B33">
      <w:pPr>
        <w:spacing w:after="0" w:line="276" w:lineRule="auto"/>
        <w:jc w:val="center"/>
        <w:rPr>
          <w:rFonts w:ascii="Times New Roman" w:hAnsi="Times New Roman" w:cs="Times New Roman"/>
          <w:sz w:val="28"/>
          <w:szCs w:val="28"/>
        </w:rPr>
      </w:pPr>
    </w:p>
    <w:p w:rsidR="00AE2B33" w:rsidRDefault="00AE2B33" w:rsidP="00AE2B33">
      <w:pPr>
        <w:spacing w:after="0" w:line="276" w:lineRule="auto"/>
        <w:jc w:val="center"/>
        <w:rPr>
          <w:rFonts w:ascii="Times New Roman" w:hAnsi="Times New Roman" w:cs="Times New Roman"/>
          <w:sz w:val="28"/>
          <w:szCs w:val="28"/>
        </w:rPr>
      </w:pPr>
    </w:p>
    <w:p w:rsidR="00AE2B33" w:rsidRPr="00EC7A61" w:rsidRDefault="00AE2B33" w:rsidP="00AE2B33">
      <w:pPr>
        <w:spacing w:after="0" w:line="276" w:lineRule="auto"/>
        <w:jc w:val="center"/>
        <w:rPr>
          <w:rFonts w:ascii="Times New Roman" w:hAnsi="Times New Roman" w:cs="Times New Roman"/>
          <w:sz w:val="28"/>
          <w:szCs w:val="28"/>
        </w:rPr>
      </w:pPr>
    </w:p>
    <w:p w:rsidR="00AE2B33" w:rsidRPr="00EC7A61" w:rsidRDefault="00AE2B33" w:rsidP="00AE2B33">
      <w:pPr>
        <w:spacing w:after="0" w:line="276" w:lineRule="auto"/>
        <w:jc w:val="center"/>
        <w:rPr>
          <w:rFonts w:ascii="Times New Roman" w:hAnsi="Times New Roman" w:cs="Times New Roman"/>
          <w:sz w:val="28"/>
          <w:szCs w:val="28"/>
        </w:rPr>
      </w:pPr>
    </w:p>
    <w:p w:rsidR="00B62DCA" w:rsidRDefault="00AE2B33" w:rsidP="00AE2B33">
      <w:pPr>
        <w:spacing w:after="0" w:line="276" w:lineRule="auto"/>
        <w:jc w:val="center"/>
        <w:rPr>
          <w:rFonts w:ascii="Arial" w:hAnsi="Arial" w:cs="Arial"/>
          <w:sz w:val="28"/>
          <w:szCs w:val="28"/>
        </w:rPr>
      </w:pPr>
      <w:r w:rsidRPr="007E1035">
        <w:rPr>
          <w:rFonts w:ascii="Arial" w:hAnsi="Arial" w:cs="Arial"/>
          <w:sz w:val="28"/>
          <w:szCs w:val="28"/>
        </w:rPr>
        <w:t xml:space="preserve">El Senado y la Cámara de Diputados de la Provincia de </w:t>
      </w:r>
    </w:p>
    <w:p w:rsidR="00AE2B33" w:rsidRPr="007E1035" w:rsidRDefault="00AE2B33" w:rsidP="00AE2B33">
      <w:pPr>
        <w:spacing w:after="0" w:line="276" w:lineRule="auto"/>
        <w:jc w:val="center"/>
        <w:rPr>
          <w:rFonts w:ascii="Arial" w:hAnsi="Arial" w:cs="Arial"/>
          <w:sz w:val="28"/>
          <w:szCs w:val="28"/>
        </w:rPr>
      </w:pPr>
      <w:r w:rsidRPr="007E1035">
        <w:rPr>
          <w:rFonts w:ascii="Arial" w:hAnsi="Arial" w:cs="Arial"/>
          <w:sz w:val="28"/>
          <w:szCs w:val="28"/>
        </w:rPr>
        <w:t>Buenos Aires</w:t>
      </w:r>
      <w:r w:rsidR="00B62DCA">
        <w:rPr>
          <w:rFonts w:ascii="Arial" w:hAnsi="Arial" w:cs="Arial"/>
          <w:sz w:val="28"/>
          <w:szCs w:val="28"/>
        </w:rPr>
        <w:t xml:space="preserve"> </w:t>
      </w:r>
      <w:r w:rsidRPr="007E1035">
        <w:rPr>
          <w:rFonts w:ascii="Arial" w:hAnsi="Arial" w:cs="Arial"/>
          <w:sz w:val="28"/>
          <w:szCs w:val="28"/>
        </w:rPr>
        <w:t>sancionan con fuerza de</w:t>
      </w:r>
    </w:p>
    <w:p w:rsidR="00AE2B33" w:rsidRPr="007E1035" w:rsidRDefault="00AE2B33" w:rsidP="00AE2B33">
      <w:pPr>
        <w:spacing w:after="0" w:line="276" w:lineRule="auto"/>
        <w:jc w:val="center"/>
        <w:rPr>
          <w:rFonts w:ascii="Arial" w:hAnsi="Arial" w:cs="Arial"/>
          <w:sz w:val="28"/>
          <w:szCs w:val="28"/>
        </w:rPr>
      </w:pPr>
    </w:p>
    <w:p w:rsidR="00AE2B33" w:rsidRPr="00EC7A61" w:rsidRDefault="00AE2B33" w:rsidP="00AE2B33">
      <w:pPr>
        <w:spacing w:after="0" w:line="276" w:lineRule="auto"/>
        <w:jc w:val="center"/>
        <w:rPr>
          <w:rFonts w:ascii="Times New Roman" w:hAnsi="Times New Roman" w:cs="Times New Roman"/>
          <w:sz w:val="28"/>
          <w:szCs w:val="28"/>
        </w:rPr>
      </w:pPr>
    </w:p>
    <w:p w:rsidR="00AE2B33" w:rsidRPr="00EC7A61" w:rsidRDefault="00AE2B33" w:rsidP="00AE2B33">
      <w:pPr>
        <w:spacing w:after="0" w:line="276" w:lineRule="auto"/>
        <w:jc w:val="center"/>
        <w:rPr>
          <w:rFonts w:ascii="Times New Roman" w:hAnsi="Times New Roman" w:cs="Times New Roman"/>
          <w:sz w:val="28"/>
          <w:szCs w:val="28"/>
        </w:rPr>
      </w:pPr>
    </w:p>
    <w:p w:rsidR="00AE2B33" w:rsidRPr="00B62DCA" w:rsidRDefault="00AE2B33" w:rsidP="00AE2B33">
      <w:pPr>
        <w:spacing w:after="0" w:line="276" w:lineRule="auto"/>
        <w:jc w:val="center"/>
        <w:rPr>
          <w:rFonts w:ascii="Times New Roman" w:hAnsi="Times New Roman" w:cs="Times New Roman"/>
          <w:b/>
          <w:sz w:val="32"/>
          <w:szCs w:val="32"/>
        </w:rPr>
      </w:pPr>
      <w:r w:rsidRPr="00B62DCA">
        <w:rPr>
          <w:rFonts w:ascii="Times New Roman" w:hAnsi="Times New Roman" w:cs="Times New Roman"/>
          <w:b/>
          <w:sz w:val="32"/>
          <w:szCs w:val="32"/>
        </w:rPr>
        <w:t>LEY</w:t>
      </w:r>
    </w:p>
    <w:p w:rsidR="00AE2B33" w:rsidRDefault="00AE2B33" w:rsidP="00AE2B33">
      <w:pPr>
        <w:spacing w:after="0" w:line="276" w:lineRule="auto"/>
        <w:jc w:val="center"/>
        <w:rPr>
          <w:rFonts w:ascii="Times New Roman" w:hAnsi="Times New Roman" w:cs="Times New Roman"/>
          <w:sz w:val="28"/>
          <w:szCs w:val="28"/>
        </w:rPr>
      </w:pPr>
    </w:p>
    <w:p w:rsidR="00AE2B33" w:rsidRDefault="00AE2B33" w:rsidP="00AE2B33">
      <w:pPr>
        <w:spacing w:after="0" w:line="276" w:lineRule="auto"/>
        <w:jc w:val="center"/>
        <w:rPr>
          <w:rFonts w:ascii="Times New Roman" w:hAnsi="Times New Roman" w:cs="Times New Roman"/>
          <w:sz w:val="28"/>
          <w:szCs w:val="28"/>
        </w:rPr>
      </w:pPr>
    </w:p>
    <w:p w:rsidR="00AE2B33" w:rsidRDefault="00AE2B33" w:rsidP="00AE2B33">
      <w:pPr>
        <w:spacing w:after="0" w:line="276" w:lineRule="auto"/>
        <w:jc w:val="center"/>
        <w:rPr>
          <w:rFonts w:ascii="Times New Roman" w:hAnsi="Times New Roman" w:cs="Times New Roman"/>
          <w:sz w:val="28"/>
          <w:szCs w:val="28"/>
        </w:rPr>
      </w:pPr>
    </w:p>
    <w:p w:rsidR="00AE2B33" w:rsidRDefault="00AE2B33" w:rsidP="00AE2B33">
      <w:pPr>
        <w:spacing w:after="0" w:line="276" w:lineRule="auto"/>
        <w:jc w:val="center"/>
        <w:rPr>
          <w:rFonts w:ascii="Times New Roman" w:hAnsi="Times New Roman" w:cs="Times New Roman"/>
          <w:sz w:val="28"/>
          <w:szCs w:val="28"/>
        </w:rPr>
      </w:pPr>
    </w:p>
    <w:p w:rsidR="00AE2B33" w:rsidRPr="00EC7A61" w:rsidRDefault="00AE2B33" w:rsidP="00AE2B33">
      <w:pPr>
        <w:spacing w:after="0" w:line="276" w:lineRule="auto"/>
        <w:rPr>
          <w:rFonts w:ascii="Times New Roman" w:hAnsi="Times New Roman" w:cs="Times New Roman"/>
          <w:sz w:val="28"/>
          <w:szCs w:val="28"/>
        </w:rPr>
      </w:pPr>
      <w:r>
        <w:rPr>
          <w:rFonts w:ascii="Times New Roman" w:hAnsi="Times New Roman" w:cs="Times New Roman"/>
          <w:sz w:val="28"/>
          <w:szCs w:val="28"/>
        </w:rPr>
        <w:t>Deroga el Impuesto de Sellos que grava los resúmenes de tarjetas de crédito</w:t>
      </w:r>
    </w:p>
    <w:p w:rsidR="00AE2B33" w:rsidRPr="00EC7A61" w:rsidRDefault="00AE2B33" w:rsidP="00AE2B33">
      <w:pPr>
        <w:spacing w:after="0" w:line="276" w:lineRule="auto"/>
        <w:jc w:val="center"/>
        <w:rPr>
          <w:rFonts w:ascii="Times New Roman" w:hAnsi="Times New Roman" w:cs="Times New Roman"/>
          <w:sz w:val="28"/>
          <w:szCs w:val="28"/>
        </w:rPr>
      </w:pPr>
    </w:p>
    <w:p w:rsidR="00AE2B33" w:rsidRDefault="00AE2B33" w:rsidP="00434862">
      <w:pPr>
        <w:spacing w:after="0" w:line="276" w:lineRule="auto"/>
        <w:jc w:val="both"/>
        <w:rPr>
          <w:rFonts w:ascii="Times New Roman" w:hAnsi="Times New Roman" w:cs="Times New Roman"/>
        </w:rPr>
      </w:pPr>
      <w:r w:rsidRPr="006A6786">
        <w:rPr>
          <w:rFonts w:ascii="Times New Roman" w:hAnsi="Times New Roman" w:cs="Times New Roman"/>
        </w:rPr>
        <w:t>ARTÍCULO 1</w:t>
      </w:r>
      <w:proofErr w:type="gramStart"/>
      <w:r w:rsidRPr="006A6786">
        <w:rPr>
          <w:rFonts w:ascii="Times New Roman" w:hAnsi="Times New Roman" w:cs="Times New Roman"/>
        </w:rPr>
        <w:t>°.-</w:t>
      </w:r>
      <w:proofErr w:type="gramEnd"/>
      <w:r w:rsidRPr="006A6786">
        <w:rPr>
          <w:rFonts w:ascii="Times New Roman" w:hAnsi="Times New Roman" w:cs="Times New Roman"/>
        </w:rPr>
        <w:t xml:space="preserve"> </w:t>
      </w:r>
      <w:proofErr w:type="spellStart"/>
      <w:r>
        <w:rPr>
          <w:rFonts w:ascii="Times New Roman" w:hAnsi="Times New Roman" w:cs="Times New Roman"/>
        </w:rPr>
        <w:t>Derógase</w:t>
      </w:r>
      <w:proofErr w:type="spellEnd"/>
      <w:r>
        <w:rPr>
          <w:rFonts w:ascii="Times New Roman" w:hAnsi="Times New Roman" w:cs="Times New Roman"/>
        </w:rPr>
        <w:t xml:space="preserve"> el artículo</w:t>
      </w:r>
      <w:r w:rsidRPr="006D09CC">
        <w:rPr>
          <w:rFonts w:ascii="Times New Roman" w:hAnsi="Times New Roman" w:cs="Times New Roman"/>
        </w:rPr>
        <w:t xml:space="preserve"> </w:t>
      </w:r>
      <w:r>
        <w:rPr>
          <w:rFonts w:ascii="Times New Roman" w:hAnsi="Times New Roman" w:cs="Times New Roman"/>
        </w:rPr>
        <w:t xml:space="preserve">20, inciso c, numeral 7, de la Ley 12.879. </w:t>
      </w:r>
    </w:p>
    <w:p w:rsidR="00AE2B33" w:rsidRPr="006A6786" w:rsidRDefault="003749B1" w:rsidP="00434862">
      <w:pPr>
        <w:spacing w:after="0" w:line="276" w:lineRule="auto"/>
        <w:jc w:val="both"/>
        <w:rPr>
          <w:rFonts w:ascii="Times New Roman" w:hAnsi="Times New Roman" w:cs="Times New Roman"/>
        </w:rPr>
      </w:pPr>
      <w:r>
        <w:rPr>
          <w:rFonts w:ascii="Times New Roman" w:hAnsi="Times New Roman" w:cs="Times New Roman"/>
        </w:rPr>
        <w:t>ARTÍCULO 2</w:t>
      </w:r>
      <w:proofErr w:type="gramStart"/>
      <w:r w:rsidR="00AE2B33" w:rsidRPr="006A6786">
        <w:rPr>
          <w:rFonts w:ascii="Times New Roman" w:hAnsi="Times New Roman" w:cs="Times New Roman"/>
        </w:rPr>
        <w:t>°.-</w:t>
      </w:r>
      <w:proofErr w:type="gramEnd"/>
      <w:r w:rsidR="00AE2B33" w:rsidRPr="006A6786">
        <w:rPr>
          <w:rFonts w:ascii="Times New Roman" w:hAnsi="Times New Roman" w:cs="Times New Roman"/>
        </w:rPr>
        <w:t xml:space="preserve"> Disponer que toda ley, reglamento y/o disposición administrativa que se oponga directa o indirectamente a los postulados de la presente queda absolutamente abrogada. </w:t>
      </w:r>
    </w:p>
    <w:p w:rsidR="00AE2B33" w:rsidRPr="006A6786" w:rsidRDefault="003749B1" w:rsidP="00434862">
      <w:pPr>
        <w:spacing w:after="0" w:line="276" w:lineRule="auto"/>
        <w:jc w:val="both"/>
        <w:rPr>
          <w:rFonts w:ascii="Times New Roman" w:hAnsi="Times New Roman" w:cs="Times New Roman"/>
        </w:rPr>
      </w:pPr>
      <w:r>
        <w:rPr>
          <w:rFonts w:ascii="Times New Roman" w:hAnsi="Times New Roman" w:cs="Times New Roman"/>
        </w:rPr>
        <w:t>ARTÍCULO 3</w:t>
      </w:r>
      <w:r w:rsidR="00AE2B33" w:rsidRPr="006A6786">
        <w:rPr>
          <w:rFonts w:ascii="Times New Roman" w:hAnsi="Times New Roman" w:cs="Times New Roman"/>
        </w:rPr>
        <w:t>°.- Comuníquese al Poder Ejecutivo</w:t>
      </w:r>
    </w:p>
    <w:p w:rsidR="00AE2B33" w:rsidRPr="006A6786" w:rsidRDefault="00AE2B33" w:rsidP="00434862">
      <w:pPr>
        <w:spacing w:after="0" w:line="276" w:lineRule="auto"/>
        <w:jc w:val="both"/>
        <w:rPr>
          <w:rFonts w:ascii="Times New Roman" w:hAnsi="Times New Roman" w:cs="Times New Roman"/>
        </w:rPr>
      </w:pPr>
    </w:p>
    <w:p w:rsidR="00AE2B33" w:rsidRDefault="00AE2B33" w:rsidP="00434862">
      <w:pPr>
        <w:spacing w:line="276" w:lineRule="auto"/>
        <w:jc w:val="center"/>
        <w:rPr>
          <w:b/>
          <w:sz w:val="24"/>
          <w:szCs w:val="24"/>
          <w:u w:val="single"/>
        </w:rPr>
      </w:pPr>
    </w:p>
    <w:p w:rsidR="00AE2B33" w:rsidRDefault="00AE2B33" w:rsidP="00434862">
      <w:pPr>
        <w:spacing w:line="276" w:lineRule="auto"/>
        <w:jc w:val="center"/>
        <w:rPr>
          <w:b/>
          <w:sz w:val="24"/>
          <w:szCs w:val="24"/>
          <w:u w:val="single"/>
        </w:rPr>
      </w:pPr>
    </w:p>
    <w:p w:rsidR="00AE2B33" w:rsidRDefault="00AE2B33" w:rsidP="00AE2B33">
      <w:pPr>
        <w:jc w:val="center"/>
        <w:rPr>
          <w:b/>
          <w:sz w:val="24"/>
          <w:szCs w:val="24"/>
          <w:u w:val="single"/>
        </w:rPr>
      </w:pPr>
    </w:p>
    <w:p w:rsidR="00AE2B33" w:rsidRDefault="00AE2B33" w:rsidP="00AE2B33">
      <w:pPr>
        <w:jc w:val="center"/>
        <w:rPr>
          <w:b/>
          <w:sz w:val="24"/>
          <w:szCs w:val="24"/>
          <w:u w:val="single"/>
        </w:rPr>
      </w:pPr>
      <w:bookmarkStart w:id="0" w:name="_GoBack"/>
      <w:bookmarkEnd w:id="0"/>
      <w:r w:rsidRPr="00CD333E">
        <w:rPr>
          <w:b/>
          <w:sz w:val="24"/>
          <w:szCs w:val="24"/>
          <w:u w:val="single"/>
        </w:rPr>
        <w:lastRenderedPageBreak/>
        <w:t>FUNDAMENTOS</w:t>
      </w:r>
    </w:p>
    <w:p w:rsidR="00AE2B33" w:rsidRPr="00CD333E" w:rsidRDefault="00AE2B33" w:rsidP="00AE2B33">
      <w:pPr>
        <w:jc w:val="center"/>
        <w:rPr>
          <w:b/>
          <w:sz w:val="24"/>
          <w:szCs w:val="24"/>
          <w:u w:val="single"/>
        </w:rPr>
      </w:pPr>
    </w:p>
    <w:p w:rsidR="00AE2B33" w:rsidRDefault="00AE2B33" w:rsidP="00AE2B33"/>
    <w:p w:rsidR="00AE2B33" w:rsidRDefault="00AE2B33" w:rsidP="00AE2B33">
      <w:pPr>
        <w:spacing w:line="480" w:lineRule="auto"/>
        <w:jc w:val="both"/>
        <w:rPr>
          <w:rFonts w:ascii="Times New Roman" w:hAnsi="Times New Roman" w:cs="Times New Roman"/>
        </w:rPr>
      </w:pPr>
      <w:r>
        <w:rPr>
          <w:rFonts w:ascii="Times New Roman" w:hAnsi="Times New Roman" w:cs="Times New Roman"/>
        </w:rPr>
        <w:t>El proyecto propone la eliminación del Impuesto de Sellos que grava las liquidaciones o resúmenes periódicos que son expedidos por el emisor al usuario/titular las tarjetas de crédito, ello, a partir de considerar como “instrumento” a dicha la liquidación o resumen periódico.</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 xml:space="preserve">Con la sanción de la Ley 12.879 (Impositiva para el año 2002) se introdujo esta innovación en cuanto al Impuesto de Sellos, ya que nunca se había considerado la posibilidad de gravar con el tributo señalado a  los resúmenes de las operaciones efectuadas a través de tarjetas de crédito. </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Dicha modificación se incorporó al texto del Código Fiscal, que en la actualidad,  en su artículo 252 textualmente expresa:</w:t>
      </w:r>
    </w:p>
    <w:p w:rsidR="00AE2B33" w:rsidRPr="00F140E2" w:rsidRDefault="00AE2B33" w:rsidP="00AE2B33">
      <w:pPr>
        <w:spacing w:line="480" w:lineRule="auto"/>
        <w:jc w:val="both"/>
        <w:rPr>
          <w:rFonts w:ascii="Times New Roman" w:hAnsi="Times New Roman" w:cs="Times New Roman"/>
        </w:rPr>
      </w:pPr>
      <w:r>
        <w:rPr>
          <w:rFonts w:ascii="Times New Roman" w:hAnsi="Times New Roman" w:cs="Times New Roman"/>
        </w:rPr>
        <w:t>“</w:t>
      </w:r>
      <w:r w:rsidRPr="00F140E2">
        <w:rPr>
          <w:rFonts w:ascii="Times New Roman" w:hAnsi="Times New Roman" w:cs="Times New Roman"/>
        </w:rPr>
        <w:t>Están gravados con el impuesto de es</w:t>
      </w:r>
      <w:r w:rsidR="00434862">
        <w:rPr>
          <w:rFonts w:ascii="Times New Roman" w:hAnsi="Times New Roman" w:cs="Times New Roman"/>
        </w:rPr>
        <w:t>te C</w:t>
      </w:r>
      <w:r w:rsidRPr="00F140E2">
        <w:rPr>
          <w:rFonts w:ascii="Times New Roman" w:hAnsi="Times New Roman" w:cs="Times New Roman"/>
        </w:rPr>
        <w:t>apítulo las liquidaciones o resúmenes periódicos que las entidades emisoras de tarjetas de crédito o compra produzcan para su remisión a los titulares.</w:t>
      </w:r>
    </w:p>
    <w:p w:rsidR="00AE2B33" w:rsidRPr="00F140E2" w:rsidRDefault="00AE2B33" w:rsidP="00AE2B33">
      <w:pPr>
        <w:spacing w:line="480" w:lineRule="auto"/>
        <w:jc w:val="both"/>
        <w:rPr>
          <w:rFonts w:ascii="Times New Roman" w:hAnsi="Times New Roman" w:cs="Times New Roman"/>
        </w:rPr>
      </w:pPr>
      <w:r w:rsidRPr="00F140E2">
        <w:rPr>
          <w:rFonts w:ascii="Times New Roman" w:hAnsi="Times New Roman" w:cs="Times New Roman"/>
        </w:rPr>
        <w:t>Son sujetos pasivos los titulares de las tarjetas de crédito o compra emitidas según lo indicado en el párrafo anterior.</w:t>
      </w:r>
    </w:p>
    <w:p w:rsidR="00AE2B33" w:rsidRPr="00F140E2" w:rsidRDefault="00AE2B33" w:rsidP="00AE2B33">
      <w:pPr>
        <w:spacing w:line="480" w:lineRule="auto"/>
        <w:jc w:val="both"/>
        <w:rPr>
          <w:rFonts w:ascii="Times New Roman" w:hAnsi="Times New Roman" w:cs="Times New Roman"/>
        </w:rPr>
      </w:pPr>
      <w:r w:rsidRPr="00F140E2">
        <w:rPr>
          <w:rFonts w:ascii="Times New Roman" w:hAnsi="Times New Roman" w:cs="Times New Roman"/>
        </w:rPr>
        <w:t>La base imponible estará constituida por los débitos o cargos del período, netos de los ajustes provenientes de saldos anteriores. Los cargos o débitos a considerar son: compras, cargos financieros, intereses punitorios, cargos por servicios, adelantos de fondos y todo otro concepto incluido en la liquidación o resumen.</w:t>
      </w:r>
    </w:p>
    <w:p w:rsidR="00AE2B33" w:rsidRDefault="00AE2B33" w:rsidP="00AE2B33">
      <w:pPr>
        <w:spacing w:line="480" w:lineRule="auto"/>
        <w:jc w:val="both"/>
        <w:rPr>
          <w:rFonts w:ascii="Times New Roman" w:hAnsi="Times New Roman" w:cs="Times New Roman"/>
        </w:rPr>
      </w:pPr>
      <w:r w:rsidRPr="00F140E2">
        <w:rPr>
          <w:rFonts w:ascii="Times New Roman" w:hAnsi="Times New Roman" w:cs="Times New Roman"/>
        </w:rPr>
        <w:lastRenderedPageBreak/>
        <w:t>El impuesto se liquidará aplicando la alícuota que fije anualmente la Ley Impositiva, sobre la base imponible determinada conforme a lo previsto en el párrafo anterior, y será ingresado por las entidades que intervengan en la operatoria, a través del régimen de percepción que disponga la</w:t>
      </w:r>
      <w:r>
        <w:rPr>
          <w:rFonts w:ascii="Times New Roman" w:hAnsi="Times New Roman" w:cs="Times New Roman"/>
        </w:rPr>
        <w:t xml:space="preserve"> Agencia de Recaudación de la Provincia de Buenos Aires”.</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Si bien l</w:t>
      </w:r>
      <w:r w:rsidR="00031BC2">
        <w:rPr>
          <w:rFonts w:ascii="Times New Roman" w:hAnsi="Times New Roman" w:cs="Times New Roman"/>
        </w:rPr>
        <w:t>a alícuota inicial fue del 0,6%</w:t>
      </w:r>
      <w:r>
        <w:rPr>
          <w:rFonts w:ascii="Times New Roman" w:hAnsi="Times New Roman" w:cs="Times New Roman"/>
        </w:rPr>
        <w:t xml:space="preserve"> (cfr. Artículo 20, inciso c, numeral 7, de la Ley 12.879) en la</w:t>
      </w:r>
      <w:r w:rsidR="00434862">
        <w:rPr>
          <w:rFonts w:ascii="Times New Roman" w:hAnsi="Times New Roman" w:cs="Times New Roman"/>
        </w:rPr>
        <w:t xml:space="preserve"> actualidad la tasa es del 1,2%.</w:t>
      </w:r>
    </w:p>
    <w:p w:rsidR="00A23D7F" w:rsidRDefault="00A23D7F" w:rsidP="00AE2B33">
      <w:pPr>
        <w:spacing w:line="480" w:lineRule="auto"/>
        <w:jc w:val="both"/>
        <w:rPr>
          <w:rFonts w:ascii="Times New Roman" w:hAnsi="Times New Roman" w:cs="Times New Roman"/>
        </w:rPr>
      </w:pPr>
      <w:r>
        <w:rPr>
          <w:rFonts w:ascii="Times New Roman" w:hAnsi="Times New Roman" w:cs="Times New Roman"/>
        </w:rPr>
        <w:t>E</w:t>
      </w:r>
      <w:r w:rsidR="00031BC2">
        <w:rPr>
          <w:rFonts w:ascii="Times New Roman" w:hAnsi="Times New Roman" w:cs="Times New Roman"/>
        </w:rPr>
        <w:t xml:space="preserve">l gravamen </w:t>
      </w:r>
      <w:r>
        <w:rPr>
          <w:rFonts w:ascii="Times New Roman" w:hAnsi="Times New Roman" w:cs="Times New Roman"/>
        </w:rPr>
        <w:t>también es</w:t>
      </w:r>
      <w:r w:rsidR="00031BC2">
        <w:rPr>
          <w:rFonts w:ascii="Times New Roman" w:hAnsi="Times New Roman" w:cs="Times New Roman"/>
        </w:rPr>
        <w:t xml:space="preserve"> aplicado por las provincias de </w:t>
      </w:r>
      <w:r>
        <w:rPr>
          <w:rFonts w:ascii="Times New Roman" w:hAnsi="Times New Roman" w:cs="Times New Roman"/>
        </w:rPr>
        <w:t>Córdoba, Chaco, Tucumán,</w:t>
      </w:r>
      <w:r w:rsidR="00031BC2">
        <w:rPr>
          <w:rFonts w:ascii="Times New Roman" w:hAnsi="Times New Roman" w:cs="Times New Roman"/>
        </w:rPr>
        <w:t xml:space="preserve"> </w:t>
      </w:r>
      <w:r>
        <w:rPr>
          <w:rFonts w:ascii="Times New Roman" w:hAnsi="Times New Roman" w:cs="Times New Roman"/>
        </w:rPr>
        <w:t xml:space="preserve">Chubut, Entre Ríos, Formosa, San Juan y Santa </w:t>
      </w:r>
      <w:r w:rsidR="00031BC2">
        <w:rPr>
          <w:rFonts w:ascii="Times New Roman" w:hAnsi="Times New Roman" w:cs="Times New Roman"/>
        </w:rPr>
        <w:t>Fe</w:t>
      </w:r>
      <w:r>
        <w:rPr>
          <w:rFonts w:ascii="Times New Roman" w:hAnsi="Times New Roman" w:cs="Times New Roman"/>
        </w:rPr>
        <w:t xml:space="preserve">.   </w:t>
      </w:r>
    </w:p>
    <w:p w:rsidR="00AE2B33" w:rsidRDefault="00031BC2" w:rsidP="00AE2B33">
      <w:pPr>
        <w:spacing w:line="480" w:lineRule="auto"/>
        <w:jc w:val="both"/>
        <w:rPr>
          <w:rFonts w:ascii="Times New Roman" w:hAnsi="Times New Roman" w:cs="Times New Roman"/>
        </w:rPr>
      </w:pPr>
      <w:r>
        <w:rPr>
          <w:rFonts w:ascii="Times New Roman" w:hAnsi="Times New Roman" w:cs="Times New Roman"/>
        </w:rPr>
        <w:t xml:space="preserve">Vale tener en cuenta que </w:t>
      </w:r>
      <w:r w:rsidR="00AE2B33">
        <w:rPr>
          <w:rFonts w:ascii="Times New Roman" w:hAnsi="Times New Roman" w:cs="Times New Roman"/>
        </w:rPr>
        <w:t xml:space="preserve">si bien </w:t>
      </w:r>
      <w:r>
        <w:rPr>
          <w:rFonts w:ascii="Times New Roman" w:hAnsi="Times New Roman" w:cs="Times New Roman"/>
        </w:rPr>
        <w:t xml:space="preserve">este gravamen </w:t>
      </w:r>
      <w:r w:rsidR="00AE2B33">
        <w:rPr>
          <w:rFonts w:ascii="Times New Roman" w:hAnsi="Times New Roman" w:cs="Times New Roman"/>
        </w:rPr>
        <w:t>es claramente inconstitucional se lo ha mantenido por razones de estricta índole recaudatoria, aun violentando claramente las disposiciones de la Ley 23.548 -de Coparticipación de Federal de Impuestos-.</w:t>
      </w:r>
    </w:p>
    <w:p w:rsidR="00AE2B33" w:rsidRPr="00C54549" w:rsidRDefault="00AE2B33" w:rsidP="00AE2B33">
      <w:pPr>
        <w:spacing w:line="480" w:lineRule="auto"/>
        <w:jc w:val="both"/>
        <w:rPr>
          <w:rFonts w:ascii="Times New Roman" w:hAnsi="Times New Roman" w:cs="Times New Roman"/>
        </w:rPr>
      </w:pPr>
      <w:r>
        <w:rPr>
          <w:rFonts w:ascii="Times New Roman" w:hAnsi="Times New Roman" w:cs="Times New Roman"/>
        </w:rPr>
        <w:t xml:space="preserve">Así, la Ley 23.548 en su artículo 9, determina que: </w:t>
      </w:r>
    </w:p>
    <w:p w:rsidR="00AE2B33" w:rsidRPr="00C54549" w:rsidRDefault="00AE2B33" w:rsidP="00AE2B33">
      <w:pPr>
        <w:spacing w:line="480" w:lineRule="auto"/>
        <w:jc w:val="both"/>
        <w:rPr>
          <w:rFonts w:ascii="Times New Roman" w:hAnsi="Times New Roman" w:cs="Times New Roman"/>
        </w:rPr>
      </w:pPr>
      <w:r>
        <w:rPr>
          <w:rFonts w:ascii="Times New Roman" w:hAnsi="Times New Roman" w:cs="Times New Roman"/>
        </w:rPr>
        <w:t>“</w:t>
      </w:r>
      <w:r w:rsidRPr="00C54549">
        <w:rPr>
          <w:rFonts w:ascii="Times New Roman" w:hAnsi="Times New Roman" w:cs="Times New Roman"/>
        </w:rPr>
        <w:t>En lo que respecta al impuesto de sellos recaerá sobre actos, contratos y operaciones de carácter oneroso instrumentados, sobre contratos a título oneroso formalizados por correspondencia, y sobre operaciones monetarias que representen entregas o recepciones de dinero que devenguen interés, efectuadas por entidades financ</w:t>
      </w:r>
      <w:r>
        <w:rPr>
          <w:rFonts w:ascii="Times New Roman" w:hAnsi="Times New Roman" w:cs="Times New Roman"/>
        </w:rPr>
        <w:t>ieras regidas por la Ley 21.526”, aclarando que “</w:t>
      </w:r>
      <w:r w:rsidRPr="00C54549">
        <w:rPr>
          <w:rFonts w:ascii="Times New Roman" w:hAnsi="Times New Roman" w:cs="Times New Roman"/>
        </w:rPr>
        <w:t xml:space="preserve">Se entenderá por </w:t>
      </w:r>
      <w:r w:rsidRPr="00D6647C">
        <w:rPr>
          <w:rFonts w:ascii="Times New Roman" w:hAnsi="Times New Roman" w:cs="Times New Roman"/>
          <w:i/>
        </w:rPr>
        <w:t>instrumento</w:t>
      </w:r>
      <w:r w:rsidRPr="00C54549">
        <w:rPr>
          <w:rFonts w:ascii="Times New Roman" w:hAnsi="Times New Roman" w:cs="Times New Roman"/>
        </w:rPr>
        <w:t xml:space="preserve"> toda escritura, papel o documento del que surja el perfeccionamiento de los actos, contratos y operaciones mencionados en la primera parte del párrafo anterior, de manera que revista los caracteres exteriores de un título jurídico por el cual pueda ser exigido el cumplimiento de las </w:t>
      </w:r>
      <w:r w:rsidRPr="00C54549">
        <w:rPr>
          <w:rFonts w:ascii="Times New Roman" w:hAnsi="Times New Roman" w:cs="Times New Roman"/>
        </w:rPr>
        <w:lastRenderedPageBreak/>
        <w:t>obligaciones sin necesidad de otro documento y con prescindencia de los actos que efectivamente realicen los contribuyentes</w:t>
      </w:r>
      <w:r>
        <w:rPr>
          <w:rFonts w:ascii="Times New Roman" w:hAnsi="Times New Roman" w:cs="Times New Roman"/>
        </w:rPr>
        <w:t>”</w:t>
      </w:r>
      <w:r w:rsidRPr="00C54549">
        <w:rPr>
          <w:rFonts w:ascii="Times New Roman" w:hAnsi="Times New Roman" w:cs="Times New Roman"/>
        </w:rPr>
        <w:t>.</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 xml:space="preserve">De la lectura de lo expuesto surge claramente que el tributo establecido en el actual artículo 252 del Código Fiscal, no cumple con los parámetros y requisitos que el artículo </w:t>
      </w:r>
      <w:r w:rsidRPr="00C54549">
        <w:rPr>
          <w:rFonts w:ascii="Times New Roman" w:hAnsi="Times New Roman" w:cs="Times New Roman"/>
        </w:rPr>
        <w:t>9 de la ley de copartic</w:t>
      </w:r>
      <w:r>
        <w:rPr>
          <w:rFonts w:ascii="Times New Roman" w:hAnsi="Times New Roman" w:cs="Times New Roman"/>
        </w:rPr>
        <w:t xml:space="preserve">ipación federal establece. </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N</w:t>
      </w:r>
      <w:r w:rsidRPr="00AF5BEF">
        <w:rPr>
          <w:rFonts w:ascii="Times New Roman" w:hAnsi="Times New Roman" w:cs="Times New Roman"/>
        </w:rPr>
        <w:t xml:space="preserve">o </w:t>
      </w:r>
      <w:r>
        <w:rPr>
          <w:rFonts w:ascii="Times New Roman" w:hAnsi="Times New Roman" w:cs="Times New Roman"/>
        </w:rPr>
        <w:t xml:space="preserve">resiste el menor análisis, razonable y objetivo, como para considerar que el sólo </w:t>
      </w:r>
      <w:r w:rsidRPr="00AF5BEF">
        <w:rPr>
          <w:rFonts w:ascii="Times New Roman" w:hAnsi="Times New Roman" w:cs="Times New Roman"/>
        </w:rPr>
        <w:t xml:space="preserve"> resumen de cuenta de la tarjeta de crédito </w:t>
      </w:r>
      <w:r>
        <w:rPr>
          <w:rFonts w:ascii="Times New Roman" w:hAnsi="Times New Roman" w:cs="Times New Roman"/>
        </w:rPr>
        <w:t xml:space="preserve">-por si misma- pueda considerarse </w:t>
      </w:r>
      <w:r w:rsidRPr="00AF5BEF">
        <w:rPr>
          <w:rFonts w:ascii="Times New Roman" w:hAnsi="Times New Roman" w:cs="Times New Roman"/>
        </w:rPr>
        <w:t xml:space="preserve">como </w:t>
      </w:r>
      <w:r>
        <w:rPr>
          <w:rFonts w:ascii="Times New Roman" w:hAnsi="Times New Roman" w:cs="Times New Roman"/>
        </w:rPr>
        <w:t>“</w:t>
      </w:r>
      <w:r w:rsidRPr="00AF5BEF">
        <w:rPr>
          <w:rFonts w:ascii="Times New Roman" w:hAnsi="Times New Roman" w:cs="Times New Roman"/>
        </w:rPr>
        <w:t>instrumento</w:t>
      </w:r>
      <w:r>
        <w:rPr>
          <w:rFonts w:ascii="Times New Roman" w:hAnsi="Times New Roman" w:cs="Times New Roman"/>
        </w:rPr>
        <w:t>”</w:t>
      </w:r>
      <w:r w:rsidRPr="00AF5BEF">
        <w:rPr>
          <w:rFonts w:ascii="Times New Roman" w:hAnsi="Times New Roman" w:cs="Times New Roman"/>
        </w:rPr>
        <w:t xml:space="preserve"> en los términos </w:t>
      </w:r>
      <w:r>
        <w:rPr>
          <w:rFonts w:ascii="Times New Roman" w:hAnsi="Times New Roman" w:cs="Times New Roman"/>
        </w:rPr>
        <w:t xml:space="preserve">referenciados de </w:t>
      </w:r>
      <w:r w:rsidRPr="00AF5BEF">
        <w:rPr>
          <w:rFonts w:ascii="Times New Roman" w:hAnsi="Times New Roman" w:cs="Times New Roman"/>
        </w:rPr>
        <w:t>la Ley de Coparticipación Federal</w:t>
      </w:r>
      <w:r>
        <w:rPr>
          <w:rFonts w:ascii="Times New Roman" w:hAnsi="Times New Roman" w:cs="Times New Roman"/>
        </w:rPr>
        <w:t xml:space="preserve"> ya que no es un t</w:t>
      </w:r>
      <w:r w:rsidRPr="00C54549">
        <w:rPr>
          <w:rFonts w:ascii="Times New Roman" w:hAnsi="Times New Roman" w:cs="Times New Roman"/>
        </w:rPr>
        <w:t xml:space="preserve">ítulo jurídico </w:t>
      </w:r>
      <w:r>
        <w:rPr>
          <w:rFonts w:ascii="Times New Roman" w:hAnsi="Times New Roman" w:cs="Times New Roman"/>
        </w:rPr>
        <w:t xml:space="preserve">que se autoabastezca, y </w:t>
      </w:r>
      <w:r w:rsidRPr="00C54549">
        <w:rPr>
          <w:rFonts w:ascii="Times New Roman" w:hAnsi="Times New Roman" w:cs="Times New Roman"/>
        </w:rPr>
        <w:t>por el cual pueda ser exigido el cumplimiento de las obligaciones sin necesidad de otro documento</w:t>
      </w:r>
      <w:r>
        <w:rPr>
          <w:rFonts w:ascii="Times New Roman" w:hAnsi="Times New Roman" w:cs="Times New Roman"/>
        </w:rPr>
        <w:t>.</w:t>
      </w:r>
    </w:p>
    <w:p w:rsidR="00AE2B33" w:rsidRPr="00C54549" w:rsidRDefault="00AE2B33" w:rsidP="00AE2B33">
      <w:pPr>
        <w:spacing w:line="480" w:lineRule="auto"/>
        <w:jc w:val="both"/>
        <w:rPr>
          <w:rFonts w:ascii="Times New Roman" w:hAnsi="Times New Roman" w:cs="Times New Roman"/>
        </w:rPr>
      </w:pPr>
      <w:r>
        <w:rPr>
          <w:rFonts w:ascii="Times New Roman" w:hAnsi="Times New Roman" w:cs="Times New Roman"/>
        </w:rPr>
        <w:t>Para más fundamentos, l</w:t>
      </w:r>
      <w:r w:rsidRPr="00C54549">
        <w:rPr>
          <w:rFonts w:ascii="Times New Roman" w:hAnsi="Times New Roman" w:cs="Times New Roman"/>
        </w:rPr>
        <w:t>a Excma. Cámara Nacional de apelaciones en lo Contencioso Administrativo Sala IV, en los autos caratulados “Abdala, Héctor Jorge -Incidente II- y Otros c/E.N. -Poder Ejecutivo s/proceso de conocimiento” estableció que: “Para el impuesto de sellos debe admitirse que revisten la calidad de gravables aquellos instrumentos que estén expresamente destinados a servir como sostén de una obligación o acto jurídico, es decir que se manifiesten como su propio título pudiéndose exigir el cumplimiento de las obligaciones en ellos consignadas sin necesidad de otro documento. Es decir que para la ley basta que el documento constituya un título jurídico hábil para exigir a la contraria las obligaciones puestas a su cargo”.</w:t>
      </w:r>
    </w:p>
    <w:p w:rsidR="00AE2B33" w:rsidRPr="00C54549" w:rsidRDefault="00AE2B33" w:rsidP="00AE2B33">
      <w:pPr>
        <w:spacing w:line="480" w:lineRule="auto"/>
        <w:jc w:val="both"/>
        <w:rPr>
          <w:rFonts w:ascii="Times New Roman" w:hAnsi="Times New Roman" w:cs="Times New Roman"/>
        </w:rPr>
      </w:pPr>
      <w:r w:rsidRPr="00C54549">
        <w:rPr>
          <w:rFonts w:ascii="Times New Roman" w:hAnsi="Times New Roman" w:cs="Times New Roman"/>
        </w:rPr>
        <w:t xml:space="preserve">El resumen de cuentas no es título jurídico suficiente o dicho de otra forma no es sostén de una obligación o acto jurídico, suficiente para exigir el cumplimiento de las obligaciones </w:t>
      </w:r>
      <w:r>
        <w:rPr>
          <w:rFonts w:ascii="Times New Roman" w:hAnsi="Times New Roman" w:cs="Times New Roman"/>
        </w:rPr>
        <w:t xml:space="preserve">sin necesidad </w:t>
      </w:r>
      <w:r>
        <w:rPr>
          <w:rFonts w:ascii="Times New Roman" w:hAnsi="Times New Roman" w:cs="Times New Roman"/>
        </w:rPr>
        <w:lastRenderedPageBreak/>
        <w:t>de otro documento, ergo, e</w:t>
      </w:r>
      <w:r w:rsidRPr="00C54549">
        <w:rPr>
          <w:rFonts w:ascii="Times New Roman" w:hAnsi="Times New Roman" w:cs="Times New Roman"/>
        </w:rPr>
        <w:t>s claro que el resumen no es por sí mismo título jurídico por el cual pueda ser exigido el cumplimiento de las obligaciones sin necesidad de otro documento.</w:t>
      </w:r>
    </w:p>
    <w:p w:rsidR="00AE2B33" w:rsidRDefault="00AE2B33" w:rsidP="00AE2B33">
      <w:pPr>
        <w:spacing w:line="480" w:lineRule="auto"/>
        <w:jc w:val="both"/>
        <w:rPr>
          <w:rFonts w:ascii="Times New Roman" w:hAnsi="Times New Roman" w:cs="Times New Roman"/>
        </w:rPr>
      </w:pPr>
      <w:r w:rsidRPr="00C54549">
        <w:rPr>
          <w:rFonts w:ascii="Times New Roman" w:hAnsi="Times New Roman" w:cs="Times New Roman"/>
        </w:rPr>
        <w:t xml:space="preserve">Concluyendo, queda de resalto que no existe forma alguna que el solo resumen de cuenta de la tarjeta de crédito por si misma cumpla los requisitos establecidos en la ley de coparticipación federal para considerarlo como </w:t>
      </w:r>
      <w:r>
        <w:rPr>
          <w:rFonts w:ascii="Times New Roman" w:hAnsi="Times New Roman" w:cs="Times New Roman"/>
        </w:rPr>
        <w:t>“</w:t>
      </w:r>
      <w:r w:rsidRPr="00C54549">
        <w:rPr>
          <w:rFonts w:ascii="Times New Roman" w:hAnsi="Times New Roman" w:cs="Times New Roman"/>
        </w:rPr>
        <w:t>instrumento</w:t>
      </w:r>
      <w:r>
        <w:rPr>
          <w:rFonts w:ascii="Times New Roman" w:hAnsi="Times New Roman" w:cs="Times New Roman"/>
        </w:rPr>
        <w:t>”</w:t>
      </w:r>
      <w:r w:rsidRPr="00C54549">
        <w:rPr>
          <w:rFonts w:ascii="Times New Roman" w:hAnsi="Times New Roman" w:cs="Times New Roman"/>
        </w:rPr>
        <w:t xml:space="preserve"> en los términos del Art. 9 de la Ley de Coparticipación Federal.</w:t>
      </w:r>
      <w:r>
        <w:rPr>
          <w:rFonts w:ascii="Times New Roman" w:hAnsi="Times New Roman" w:cs="Times New Roman"/>
        </w:rPr>
        <w:t xml:space="preserve"> </w:t>
      </w:r>
      <w:r w:rsidRPr="00C54549">
        <w:rPr>
          <w:rFonts w:ascii="Times New Roman" w:hAnsi="Times New Roman" w:cs="Times New Roman"/>
        </w:rPr>
        <w:t>Ello así,</w:t>
      </w:r>
      <w:r>
        <w:rPr>
          <w:rFonts w:ascii="Times New Roman" w:hAnsi="Times New Roman" w:cs="Times New Roman"/>
        </w:rPr>
        <w:t xml:space="preserve"> los resúmenes o liquidaciones de tarjetas de crédito </w:t>
      </w:r>
      <w:r w:rsidRPr="00C54549">
        <w:rPr>
          <w:rFonts w:ascii="Times New Roman" w:hAnsi="Times New Roman" w:cs="Times New Roman"/>
        </w:rPr>
        <w:t xml:space="preserve">no </w:t>
      </w:r>
      <w:r>
        <w:rPr>
          <w:rFonts w:ascii="Times New Roman" w:hAnsi="Times New Roman" w:cs="Times New Roman"/>
        </w:rPr>
        <w:t xml:space="preserve">cumplen con los requisitos que la </w:t>
      </w:r>
      <w:r w:rsidRPr="00C54549">
        <w:rPr>
          <w:rFonts w:ascii="Times New Roman" w:hAnsi="Times New Roman" w:cs="Times New Roman"/>
        </w:rPr>
        <w:t xml:space="preserve">provincia de Buenos Aires </w:t>
      </w:r>
      <w:r>
        <w:rPr>
          <w:rFonts w:ascii="Times New Roman" w:hAnsi="Times New Roman" w:cs="Times New Roman"/>
        </w:rPr>
        <w:t>asumió al adherir al régimen de la Ley 23.548</w:t>
      </w:r>
      <w:r w:rsidRPr="00C54549">
        <w:rPr>
          <w:rFonts w:ascii="Times New Roman" w:hAnsi="Times New Roman" w:cs="Times New Roman"/>
        </w:rPr>
        <w:t xml:space="preserve">, </w:t>
      </w:r>
      <w:r>
        <w:rPr>
          <w:rFonts w:ascii="Times New Roman" w:hAnsi="Times New Roman" w:cs="Times New Roman"/>
        </w:rPr>
        <w:t>por lo que, es evidente que el artículo 252</w:t>
      </w:r>
      <w:r w:rsidRPr="00C54549">
        <w:rPr>
          <w:rFonts w:ascii="Times New Roman" w:hAnsi="Times New Roman" w:cs="Times New Roman"/>
        </w:rPr>
        <w:t xml:space="preserve"> del Código Fiscal de la Provincia de Buenos Aires </w:t>
      </w:r>
      <w:r>
        <w:rPr>
          <w:rFonts w:ascii="Times New Roman" w:hAnsi="Times New Roman" w:cs="Times New Roman"/>
        </w:rPr>
        <w:t xml:space="preserve">(texto actual) </w:t>
      </w:r>
      <w:r w:rsidRPr="00C54549">
        <w:rPr>
          <w:rFonts w:ascii="Times New Roman" w:hAnsi="Times New Roman" w:cs="Times New Roman"/>
        </w:rPr>
        <w:t>es violatorio de la Ley de coparticipación federal.</w:t>
      </w:r>
    </w:p>
    <w:p w:rsidR="00AE2B33" w:rsidRDefault="00AE2B33" w:rsidP="00AE2B33">
      <w:pPr>
        <w:spacing w:line="480" w:lineRule="auto"/>
        <w:jc w:val="both"/>
        <w:rPr>
          <w:rFonts w:ascii="Times New Roman" w:hAnsi="Times New Roman" w:cs="Times New Roman"/>
        </w:rPr>
      </w:pPr>
      <w:r>
        <w:rPr>
          <w:rFonts w:ascii="Times New Roman" w:hAnsi="Times New Roman" w:cs="Times New Roman"/>
        </w:rPr>
        <w:t>Para finalizar, y atento a los argumentos de inconstitucionalidad e inconveniencia económica que implica mantener un gravamen distorsivo e ilegal, es que se solicita la eliminación del citado gravamen.</w:t>
      </w:r>
    </w:p>
    <w:p w:rsidR="00AE2B33" w:rsidRPr="003249CC" w:rsidRDefault="00AE2B33" w:rsidP="00AE2B33">
      <w:pPr>
        <w:spacing w:line="480" w:lineRule="auto"/>
        <w:jc w:val="both"/>
        <w:rPr>
          <w:rFonts w:ascii="Times New Roman" w:hAnsi="Times New Roman" w:cs="Times New Roman"/>
        </w:rPr>
      </w:pPr>
    </w:p>
    <w:p w:rsidR="00F12828" w:rsidRDefault="00F12828"/>
    <w:sectPr w:rsidR="00F1282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1A" w:rsidRDefault="0003341A" w:rsidP="00B62DCA">
      <w:pPr>
        <w:spacing w:after="0" w:line="240" w:lineRule="auto"/>
      </w:pPr>
      <w:r>
        <w:separator/>
      </w:r>
    </w:p>
  </w:endnote>
  <w:endnote w:type="continuationSeparator" w:id="0">
    <w:p w:rsidR="0003341A" w:rsidRDefault="0003341A" w:rsidP="00B6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1A" w:rsidRDefault="0003341A" w:rsidP="00B62DCA">
      <w:pPr>
        <w:spacing w:after="0" w:line="240" w:lineRule="auto"/>
      </w:pPr>
      <w:r>
        <w:separator/>
      </w:r>
    </w:p>
  </w:footnote>
  <w:footnote w:type="continuationSeparator" w:id="0">
    <w:p w:rsidR="0003341A" w:rsidRDefault="0003341A" w:rsidP="00B6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CA" w:rsidRDefault="00B62DCA" w:rsidP="00B62DCA">
    <w:pPr>
      <w:pStyle w:val="Encabezado"/>
      <w:jc w:val="center"/>
    </w:pPr>
    <w:r w:rsidRPr="001C08A7">
      <w:rPr>
        <w:noProof/>
        <w:color w:val="000000"/>
        <w:sz w:val="26"/>
        <w:szCs w:val="26"/>
        <w:lang w:eastAsia="es-AR"/>
      </w:rPr>
      <w:drawing>
        <wp:inline distT="0" distB="0" distL="0" distR="0" wp14:anchorId="47FB0EF6" wp14:editId="0579CF3C">
          <wp:extent cx="685800" cy="904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04875"/>
                  </a:xfrm>
                  <a:prstGeom prst="rect">
                    <a:avLst/>
                  </a:prstGeom>
                  <a:noFill/>
                  <a:ln>
                    <a:noFill/>
                  </a:ln>
                </pic:spPr>
              </pic:pic>
            </a:graphicData>
          </a:graphic>
        </wp:inline>
      </w:drawing>
    </w:r>
  </w:p>
  <w:p w:rsidR="00B62DCA" w:rsidRDefault="00B62DCA" w:rsidP="00B62DCA">
    <w:pPr>
      <w:pStyle w:val="Encabezado"/>
      <w:jc w:val="center"/>
    </w:pPr>
  </w:p>
  <w:p w:rsidR="00B62DCA" w:rsidRPr="00692F5B" w:rsidRDefault="00B62DCA" w:rsidP="00B62DCA">
    <w:pPr>
      <w:autoSpaceDE w:val="0"/>
      <w:autoSpaceDN w:val="0"/>
      <w:adjustRightInd w:val="0"/>
      <w:jc w:val="center"/>
      <w:rPr>
        <w:rFonts w:ascii="Arial" w:hAnsi="Arial" w:cs="Arial"/>
        <w:i/>
        <w:sz w:val="28"/>
        <w:szCs w:val="28"/>
      </w:rPr>
    </w:pPr>
    <w:r w:rsidRPr="00692F5B">
      <w:rPr>
        <w:rFonts w:ascii="Arial" w:hAnsi="Arial" w:cs="Arial"/>
        <w:i/>
        <w:sz w:val="28"/>
        <w:szCs w:val="28"/>
      </w:rPr>
      <w:t>Honorable Cámara de Diputados</w:t>
    </w:r>
  </w:p>
  <w:p w:rsidR="00B62DCA" w:rsidRPr="00692F5B" w:rsidRDefault="00B62DCA" w:rsidP="00B62DCA">
    <w:pPr>
      <w:autoSpaceDE w:val="0"/>
      <w:autoSpaceDN w:val="0"/>
      <w:adjustRightInd w:val="0"/>
      <w:jc w:val="center"/>
      <w:rPr>
        <w:rFonts w:ascii="Arial" w:hAnsi="Arial" w:cs="Arial"/>
        <w:i/>
        <w:sz w:val="28"/>
        <w:szCs w:val="28"/>
      </w:rPr>
    </w:pPr>
    <w:r w:rsidRPr="00692F5B">
      <w:rPr>
        <w:rFonts w:ascii="Arial" w:hAnsi="Arial" w:cs="Arial"/>
        <w:i/>
        <w:sz w:val="28"/>
        <w:szCs w:val="28"/>
      </w:rPr>
      <w:t>Provincia de Buenos Aires</w:t>
    </w:r>
  </w:p>
  <w:p w:rsidR="00B62DCA" w:rsidRPr="00B62DCA" w:rsidRDefault="00B62DCA" w:rsidP="00B62D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33"/>
    <w:rsid w:val="00031BC2"/>
    <w:rsid w:val="0003341A"/>
    <w:rsid w:val="002D4B52"/>
    <w:rsid w:val="003749B1"/>
    <w:rsid w:val="00434862"/>
    <w:rsid w:val="007E1035"/>
    <w:rsid w:val="00A23D7F"/>
    <w:rsid w:val="00AE2B33"/>
    <w:rsid w:val="00B62DCA"/>
    <w:rsid w:val="00D6647C"/>
    <w:rsid w:val="00F128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004D"/>
  <w15:chartTrackingRefBased/>
  <w15:docId w15:val="{F2D997AE-9552-40CA-AB9A-3536BAF5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2D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2DCA"/>
  </w:style>
  <w:style w:type="paragraph" w:styleId="Piedepgina">
    <w:name w:val="footer"/>
    <w:basedOn w:val="Normal"/>
    <w:link w:val="PiedepginaCar"/>
    <w:uiPriority w:val="99"/>
    <w:unhideWhenUsed/>
    <w:rsid w:val="00B62D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2DCA"/>
  </w:style>
  <w:style w:type="paragraph" w:styleId="Textodeglobo">
    <w:name w:val="Balloon Text"/>
    <w:basedOn w:val="Normal"/>
    <w:link w:val="TextodegloboCar"/>
    <w:uiPriority w:val="99"/>
    <w:semiHidden/>
    <w:unhideWhenUsed/>
    <w:rsid w:val="00B62D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5223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Maria Belen Salazar</cp:lastModifiedBy>
  <cp:revision>2</cp:revision>
  <cp:lastPrinted>2019-07-05T17:33:00Z</cp:lastPrinted>
  <dcterms:created xsi:type="dcterms:W3CDTF">2019-07-05T17:40:00Z</dcterms:created>
  <dcterms:modified xsi:type="dcterms:W3CDTF">2019-07-05T17:40:00Z</dcterms:modified>
</cp:coreProperties>
</file>